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宋体" w:cs="宋体"/>
          <w:b/>
          <w:sz w:val="44"/>
          <w:szCs w:val="44"/>
        </w:rPr>
      </w:pPr>
      <w:r>
        <w:rPr>
          <w:rFonts w:hint="eastAsia" w:ascii="宋体" w:hAnsi="宋体" w:eastAsia="宋体" w:cs="宋体"/>
          <w:b/>
          <w:sz w:val="44"/>
          <w:szCs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宋体" w:hAnsi="宋体" w:eastAsia="宋体" w:cs="宋体"/>
          <w:b/>
          <w:sz w:val="44"/>
          <w:szCs w:val="44"/>
        </w:rPr>
        <w:instrText xml:space="preserve">ADDIN CNKISM.UserStyle</w:instrText>
      </w:r>
      <w:r>
        <w:rPr>
          <w:rFonts w:hint="eastAsia" w:ascii="宋体" w:hAnsi="宋体" w:eastAsia="宋体" w:cs="宋体"/>
          <w:b/>
          <w:sz w:val="44"/>
          <w:szCs w:val="44"/>
        </w:rPr>
        <w:fldChar w:fldCharType="end"/>
      </w:r>
      <w:r>
        <w:rPr>
          <w:rFonts w:hint="eastAsia" w:ascii="宋体" w:hAnsi="宋体" w:eastAsia="宋体" w:cs="宋体"/>
          <w:b/>
          <w:sz w:val="44"/>
          <w:szCs w:val="44"/>
        </w:rPr>
        <w:t>南昌大学附属口腔医院</w:t>
      </w:r>
    </w:p>
    <w:p>
      <w:pPr>
        <w:spacing w:afterLines="100"/>
        <w:jc w:val="center"/>
        <w:rPr>
          <w:rFonts w:ascii="宋体" w:hAnsi="宋体" w:eastAsia="宋体" w:cs="宋体"/>
          <w:b/>
          <w:sz w:val="44"/>
          <w:szCs w:val="44"/>
        </w:rPr>
      </w:pPr>
      <w:r>
        <w:rPr>
          <w:rFonts w:hint="eastAsia" w:ascii="宋体" w:hAnsi="宋体" w:eastAsia="宋体" w:cs="宋体"/>
          <w:b/>
          <w:sz w:val="44"/>
          <w:szCs w:val="44"/>
        </w:rPr>
        <w:t>口腔专科体检须知</w:t>
      </w:r>
    </w:p>
    <w:p>
      <w:pPr>
        <w:pStyle w:val="9"/>
        <w:numPr>
          <w:ilvl w:val="0"/>
          <w:numId w:val="1"/>
        </w:numPr>
        <w:spacing w:after="0" w:line="360" w:lineRule="auto"/>
        <w:ind w:firstLine="600"/>
        <w:rPr>
          <w:rFonts w:ascii="黑体" w:hAnsi="黑体" w:eastAsia="黑体" w:cs="黑体"/>
          <w:sz w:val="30"/>
          <w:szCs w:val="30"/>
        </w:rPr>
      </w:pPr>
      <w:r>
        <w:rPr>
          <w:rFonts w:hint="eastAsia" w:ascii="黑体" w:hAnsi="黑体" w:eastAsia="黑体" w:cs="黑体"/>
          <w:sz w:val="30"/>
          <w:szCs w:val="30"/>
        </w:rPr>
        <w:t>体检地址</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南昌市东湖区福州路49号，南昌大学附属口腔医院五楼预防科。</w:t>
      </w:r>
    </w:p>
    <w:p>
      <w:pPr>
        <w:pStyle w:val="9"/>
        <w:numPr>
          <w:ilvl w:val="0"/>
          <w:numId w:val="1"/>
        </w:numPr>
        <w:spacing w:after="0" w:line="360" w:lineRule="auto"/>
        <w:ind w:firstLine="600"/>
        <w:rPr>
          <w:rFonts w:ascii="黑体" w:hAnsi="黑体" w:eastAsia="黑体" w:cs="黑体"/>
          <w:sz w:val="30"/>
          <w:szCs w:val="30"/>
        </w:rPr>
      </w:pPr>
      <w:r>
        <w:rPr>
          <w:rFonts w:hint="eastAsia" w:ascii="黑体" w:hAnsi="黑体" w:eastAsia="黑体" w:cs="黑体"/>
          <w:sz w:val="30"/>
          <w:szCs w:val="30"/>
        </w:rPr>
        <w:t>体检时间</w:t>
      </w:r>
    </w:p>
    <w:p>
      <w:pPr>
        <w:pStyle w:val="9"/>
        <w:spacing w:after="0" w:line="360" w:lineRule="auto"/>
        <w:ind w:firstLine="600"/>
        <w:rPr>
          <w:rFonts w:ascii="仿宋" w:hAnsi="仿宋" w:eastAsia="仿宋" w:cs="仿宋"/>
          <w:sz w:val="30"/>
          <w:szCs w:val="30"/>
        </w:rPr>
      </w:pPr>
      <w:r>
        <w:rPr>
          <w:rFonts w:hint="eastAsia" w:ascii="仿宋" w:hAnsi="仿宋" w:eastAsia="仿宋" w:cs="仿宋"/>
          <w:sz w:val="30"/>
          <w:szCs w:val="30"/>
        </w:rPr>
        <w:t>2022年9月1日—12月31日，上午8:00-12:00、下午2:00-5:00(法定节假日休息）</w:t>
      </w:r>
    </w:p>
    <w:p>
      <w:pPr>
        <w:pStyle w:val="9"/>
        <w:numPr>
          <w:ilvl w:val="0"/>
          <w:numId w:val="1"/>
        </w:numPr>
        <w:spacing w:after="0" w:line="360" w:lineRule="auto"/>
        <w:ind w:firstLine="600"/>
        <w:rPr>
          <w:rFonts w:ascii="黑体" w:hAnsi="黑体" w:eastAsia="黑体" w:cs="黑体"/>
          <w:sz w:val="30"/>
          <w:szCs w:val="30"/>
        </w:rPr>
      </w:pPr>
      <w:r>
        <w:rPr>
          <w:rFonts w:hint="eastAsia" w:ascii="黑体" w:hAnsi="黑体" w:eastAsia="黑体" w:cs="黑体"/>
          <w:sz w:val="30"/>
          <w:szCs w:val="30"/>
        </w:rPr>
        <w:t>体检流程</w:t>
      </w:r>
    </w:p>
    <w:p>
      <w:pPr>
        <w:pStyle w:val="9"/>
        <w:numPr>
          <w:ilvl w:val="0"/>
          <w:numId w:val="2"/>
        </w:numPr>
        <w:spacing w:after="0" w:line="360" w:lineRule="auto"/>
        <w:ind w:firstLineChars="0"/>
        <w:rPr>
          <w:rFonts w:ascii="仿宋" w:hAnsi="仿宋" w:eastAsia="仿宋" w:cs="仿宋"/>
          <w:sz w:val="30"/>
          <w:szCs w:val="30"/>
        </w:rPr>
      </w:pPr>
      <w:r>
        <w:rPr>
          <w:rFonts w:hint="eastAsia" w:ascii="仿宋" w:hAnsi="仿宋" w:eastAsia="仿宋" w:cs="仿宋"/>
          <w:sz w:val="30"/>
          <w:szCs w:val="30"/>
        </w:rPr>
        <w:t>体检职工通过打预约电话或微信扫码二维码进行预约---②口腔专科体检---③科室根据预约情况确认具体体检时间—④体检职工持本人身份证或医保卡按预约时间直接到口腔医院五楼口腔预防科进行口腔专科体检—⑤体检后1周内出具体检报告。</w:t>
      </w:r>
    </w:p>
    <w:p>
      <w:pPr>
        <w:pStyle w:val="9"/>
        <w:spacing w:after="0" w:line="360" w:lineRule="auto"/>
        <w:ind w:firstLine="600"/>
        <w:rPr>
          <w:rFonts w:ascii="仿宋" w:hAnsi="仿宋" w:eastAsia="仿宋" w:cs="仿宋"/>
          <w:sz w:val="30"/>
          <w:szCs w:val="30"/>
        </w:rPr>
      </w:pPr>
      <w:r>
        <w:rPr>
          <w:rFonts w:hint="eastAsia" w:ascii="仿宋" w:hAnsi="仿宋" w:eastAsia="仿宋" w:cs="仿宋"/>
          <w:sz w:val="30"/>
          <w:szCs w:val="30"/>
        </w:rPr>
        <w:t>预约方式：</w:t>
      </w:r>
    </w:p>
    <w:p>
      <w:pPr>
        <w:pStyle w:val="9"/>
        <w:numPr>
          <w:ilvl w:val="0"/>
          <w:numId w:val="3"/>
        </w:numPr>
        <w:spacing w:after="0" w:line="360" w:lineRule="auto"/>
        <w:ind w:firstLineChars="0"/>
        <w:rPr>
          <w:rFonts w:ascii="仿宋" w:hAnsi="仿宋" w:eastAsia="仿宋" w:cs="仿宋"/>
          <w:sz w:val="30"/>
          <w:szCs w:val="30"/>
        </w:rPr>
      </w:pPr>
      <w:r>
        <w:rPr>
          <w:rFonts w:hint="eastAsia" w:ascii="仿宋" w:hAnsi="仿宋" w:eastAsia="仿宋" w:cs="仿宋"/>
          <w:sz w:val="30"/>
          <w:szCs w:val="30"/>
        </w:rPr>
        <w:t>电话预约：0791-86360615（口腔预防科）</w:t>
      </w:r>
    </w:p>
    <w:p>
      <w:pPr>
        <w:pStyle w:val="9"/>
        <w:spacing w:after="0" w:line="360" w:lineRule="auto"/>
        <w:ind w:firstLine="2400" w:firstLineChars="800"/>
        <w:rPr>
          <w:rFonts w:ascii="仿宋" w:hAnsi="仿宋" w:eastAsia="仿宋" w:cs="仿宋"/>
          <w:sz w:val="30"/>
          <w:szCs w:val="30"/>
        </w:rPr>
      </w:pPr>
      <w:r>
        <w:rPr>
          <w:rFonts w:hint="eastAsia" w:ascii="仿宋" w:hAnsi="仿宋" w:eastAsia="仿宋" w:cs="仿宋"/>
          <w:sz w:val="30"/>
          <w:szCs w:val="30"/>
        </w:rPr>
        <w:t>13870849623（刘艳）</w:t>
      </w:r>
    </w:p>
    <w:p>
      <w:pPr>
        <w:pStyle w:val="9"/>
        <w:numPr>
          <w:ilvl w:val="0"/>
          <w:numId w:val="3"/>
        </w:numPr>
        <w:spacing w:after="0" w:line="360" w:lineRule="auto"/>
        <w:ind w:firstLineChars="0"/>
        <w:rPr>
          <w:rFonts w:ascii="仿宋" w:hAnsi="仿宋" w:eastAsia="仿宋" w:cs="仿宋"/>
          <w:sz w:val="30"/>
          <w:szCs w:val="30"/>
        </w:rPr>
      </w:pPr>
      <w:r>
        <w:rPr>
          <w:rFonts w:ascii="仿宋" w:hAnsi="仿宋" w:eastAsia="仿宋" w:cs="仿宋"/>
          <w:sz w:val="30"/>
          <w:szCs w:val="30"/>
        </w:rPr>
        <w:t>微信扫码预约：</w:t>
      </w:r>
    </w:p>
    <w:p>
      <w:pPr>
        <w:pStyle w:val="9"/>
        <w:spacing w:after="0" w:line="360" w:lineRule="auto"/>
        <w:ind w:left="960" w:firstLine="1500" w:firstLineChars="500"/>
        <w:rPr>
          <w:rFonts w:ascii="仿宋" w:hAnsi="仿宋" w:eastAsia="仿宋" w:cs="仿宋"/>
          <w:sz w:val="30"/>
          <w:szCs w:val="30"/>
        </w:rPr>
      </w:pPr>
      <w:r>
        <w:rPr>
          <w:rFonts w:ascii="仿宋" w:hAnsi="仿宋" w:eastAsia="仿宋" w:cs="仿宋"/>
          <w:sz w:val="30"/>
          <w:szCs w:val="30"/>
        </w:rPr>
        <w:drawing>
          <wp:inline distT="0" distB="0" distL="0" distR="0">
            <wp:extent cx="1802765" cy="1835150"/>
            <wp:effectExtent l="19050" t="0" r="6891" b="0"/>
            <wp:docPr id="2" name="图片 2" descr="C:\Users\HUAWEI\Documents\WeChat Files\xiaoyue19850604\FileStorage\Temp\1660044858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HUAWEI\Documents\WeChat Files\xiaoyue19850604\FileStorage\Temp\1660044858085.png"/>
                    <pic:cNvPicPr>
                      <a:picLocks noChangeAspect="1" noChangeArrowheads="1"/>
                    </pic:cNvPicPr>
                  </pic:nvPicPr>
                  <pic:blipFill>
                    <a:blip r:embed="rId5" cstate="print"/>
                    <a:srcRect/>
                    <a:stretch>
                      <a:fillRect/>
                    </a:stretch>
                  </pic:blipFill>
                  <pic:spPr>
                    <a:xfrm>
                      <a:off x="0" y="0"/>
                      <a:ext cx="1808837" cy="1841235"/>
                    </a:xfrm>
                    <a:prstGeom prst="rect">
                      <a:avLst/>
                    </a:prstGeom>
                    <a:noFill/>
                    <a:ln w="9525">
                      <a:noFill/>
                      <a:miter lim="800000"/>
                      <a:headEnd/>
                      <a:tailEnd/>
                    </a:ln>
                  </pic:spPr>
                </pic:pic>
              </a:graphicData>
            </a:graphic>
          </wp:inline>
        </w:drawing>
      </w:r>
    </w:p>
    <w:p>
      <w:pPr>
        <w:pStyle w:val="9"/>
        <w:numPr>
          <w:ilvl w:val="0"/>
          <w:numId w:val="1"/>
        </w:numPr>
        <w:spacing w:after="0" w:line="360" w:lineRule="auto"/>
        <w:ind w:firstLine="600"/>
        <w:rPr>
          <w:rFonts w:ascii="黑体" w:hAnsi="黑体" w:eastAsia="黑体" w:cs="黑体"/>
          <w:sz w:val="30"/>
          <w:szCs w:val="30"/>
        </w:rPr>
      </w:pPr>
      <w:r>
        <w:rPr>
          <w:rFonts w:hint="eastAsia" w:ascii="黑体" w:hAnsi="黑体" w:eastAsia="黑体" w:cs="黑体"/>
          <w:sz w:val="30"/>
          <w:szCs w:val="30"/>
        </w:rPr>
        <w:t>体检项目推荐</w:t>
      </w:r>
    </w:p>
    <w:p>
      <w:pPr>
        <w:pStyle w:val="9"/>
        <w:numPr>
          <w:ilvl w:val="0"/>
          <w:numId w:val="4"/>
        </w:numPr>
        <w:spacing w:after="0" w:line="360" w:lineRule="auto"/>
        <w:ind w:firstLine="602"/>
        <w:rPr>
          <w:rFonts w:hint="eastAsia" w:ascii="楷体" w:hAnsi="楷体" w:eastAsia="楷体" w:cs="楷体"/>
          <w:b/>
          <w:bCs/>
          <w:sz w:val="30"/>
          <w:szCs w:val="30"/>
        </w:rPr>
      </w:pPr>
      <w:r>
        <w:rPr>
          <w:rFonts w:hint="eastAsia" w:ascii="楷体" w:hAnsi="楷体" w:eastAsia="楷体" w:cs="楷体"/>
          <w:b/>
          <w:bCs/>
          <w:sz w:val="30"/>
          <w:szCs w:val="30"/>
          <w:lang w:val="en-US" w:eastAsia="zh-CN"/>
        </w:rPr>
        <w:t>口腔专科体检套餐（必选项目）</w:t>
      </w:r>
      <w:r>
        <w:rPr>
          <w:rFonts w:hint="eastAsia" w:ascii="楷体" w:hAnsi="楷体" w:eastAsia="楷体" w:cs="楷体"/>
          <w:b/>
          <w:bCs/>
          <w:sz w:val="30"/>
          <w:szCs w:val="30"/>
        </w:rPr>
        <w:t>：</w:t>
      </w:r>
    </w:p>
    <w:p>
      <w:pPr>
        <w:pStyle w:val="9"/>
        <w:numPr>
          <w:numId w:val="0"/>
        </w:numPr>
        <w:spacing w:after="0" w:line="360" w:lineRule="auto"/>
        <w:ind w:firstLine="600" w:firstLineChars="200"/>
        <w:rPr>
          <w:rFonts w:ascii="宋体" w:hAnsi="宋体" w:eastAsia="宋体" w:cs="楷体"/>
          <w:b/>
          <w:bCs/>
          <w:sz w:val="30"/>
          <w:szCs w:val="30"/>
        </w:rPr>
      </w:pPr>
      <w:r>
        <w:rPr>
          <w:rFonts w:hint="eastAsia" w:ascii="宋体" w:hAnsi="宋体" w:eastAsia="宋体" w:cs="仿宋"/>
          <w:sz w:val="30"/>
          <w:szCs w:val="30"/>
        </w:rPr>
        <w:t>套餐合计</w:t>
      </w:r>
      <w:r>
        <w:rPr>
          <w:rFonts w:hint="eastAsia" w:ascii="宋体" w:hAnsi="宋体" w:eastAsia="宋体" w:cs="仿宋"/>
          <w:sz w:val="30"/>
          <w:szCs w:val="30"/>
          <w:lang w:val="en-US" w:eastAsia="zh-CN"/>
        </w:rPr>
        <w:t>110</w:t>
      </w:r>
      <w:r>
        <w:rPr>
          <w:rFonts w:hint="eastAsia" w:ascii="宋体" w:hAnsi="宋体" w:eastAsia="宋体" w:cs="仿宋"/>
          <w:sz w:val="30"/>
          <w:szCs w:val="30"/>
        </w:rPr>
        <w:t>元</w:t>
      </w:r>
      <w:r>
        <w:rPr>
          <w:rFonts w:ascii="宋体" w:hAnsi="宋体" w:eastAsia="宋体" w:cs="仿宋"/>
          <w:sz w:val="30"/>
          <w:szCs w:val="30"/>
        </w:rPr>
        <w:t xml:space="preserve"> </w:t>
      </w:r>
    </w:p>
    <w:tbl>
      <w:tblPr>
        <w:tblStyle w:val="7"/>
        <w:tblW w:w="9479" w:type="dxa"/>
        <w:tblInd w:w="-4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987"/>
        <w:gridCol w:w="3615"/>
        <w:gridCol w:w="1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3975" w:type="dxa"/>
            <w:gridSpan w:val="2"/>
            <w:vAlign w:val="center"/>
          </w:tcPr>
          <w:p>
            <w:pPr>
              <w:spacing w:after="0"/>
              <w:jc w:val="center"/>
              <w:rPr>
                <w:rFonts w:ascii="仿宋" w:hAnsi="仿宋" w:eastAsia="仿宋" w:cs="仿宋"/>
                <w:b/>
                <w:bCs/>
                <w:sz w:val="32"/>
                <w:szCs w:val="32"/>
              </w:rPr>
            </w:pPr>
            <w:r>
              <w:rPr>
                <w:rFonts w:hint="eastAsia" w:ascii="仿宋" w:hAnsi="仿宋" w:eastAsia="仿宋" w:cs="仿宋"/>
                <w:b/>
                <w:bCs/>
                <w:sz w:val="32"/>
                <w:szCs w:val="32"/>
              </w:rPr>
              <w:t>项目名称</w:t>
            </w:r>
          </w:p>
        </w:tc>
        <w:tc>
          <w:tcPr>
            <w:tcW w:w="3615" w:type="dxa"/>
            <w:vAlign w:val="center"/>
          </w:tcPr>
          <w:p>
            <w:pPr>
              <w:spacing w:after="0"/>
              <w:jc w:val="center"/>
              <w:rPr>
                <w:rFonts w:ascii="仿宋" w:hAnsi="仿宋" w:eastAsia="仿宋" w:cs="仿宋"/>
                <w:b/>
                <w:bCs/>
                <w:sz w:val="32"/>
                <w:szCs w:val="32"/>
              </w:rPr>
            </w:pPr>
            <w:r>
              <w:rPr>
                <w:rFonts w:hint="eastAsia" w:ascii="仿宋" w:hAnsi="仿宋" w:eastAsia="仿宋" w:cs="仿宋"/>
                <w:b/>
                <w:bCs/>
                <w:sz w:val="32"/>
                <w:szCs w:val="32"/>
              </w:rPr>
              <w:t>临床意义</w:t>
            </w:r>
          </w:p>
        </w:tc>
        <w:tc>
          <w:tcPr>
            <w:tcW w:w="1889" w:type="dxa"/>
            <w:vAlign w:val="center"/>
          </w:tcPr>
          <w:p>
            <w:pPr>
              <w:spacing w:after="0"/>
              <w:jc w:val="center"/>
              <w:rPr>
                <w:rFonts w:ascii="仿宋" w:hAnsi="仿宋" w:eastAsia="仿宋" w:cs="仿宋"/>
                <w:b/>
                <w:bCs/>
                <w:sz w:val="32"/>
                <w:szCs w:val="32"/>
              </w:rPr>
            </w:pPr>
            <w:r>
              <w:rPr>
                <w:rFonts w:hint="eastAsia" w:ascii="仿宋" w:hAnsi="仿宋" w:eastAsia="仿宋" w:cs="仿宋"/>
                <w:b/>
                <w:bCs/>
                <w:sz w:val="32"/>
                <w:szCs w:val="32"/>
              </w:rPr>
              <w:t>价格（元）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ascii="仿宋" w:hAnsi="仿宋" w:eastAsia="仿宋" w:cs="仿宋"/>
                <w:sz w:val="30"/>
                <w:szCs w:val="30"/>
              </w:rPr>
            </w:pPr>
            <w:r>
              <w:rPr>
                <w:rFonts w:hint="eastAsia" w:ascii="仿宋" w:hAnsi="仿宋" w:eastAsia="仿宋" w:cs="仿宋"/>
                <w:sz w:val="30"/>
                <w:szCs w:val="30"/>
              </w:rPr>
              <w:t>全口牙病系统检查（含牙周专业检查）</w:t>
            </w:r>
          </w:p>
        </w:tc>
        <w:tc>
          <w:tcPr>
            <w:tcW w:w="3615" w:type="dxa"/>
            <w:vAlign w:val="center"/>
          </w:tcPr>
          <w:p>
            <w:pPr>
              <w:spacing w:after="0"/>
              <w:jc w:val="both"/>
              <w:rPr>
                <w:rFonts w:ascii="仿宋" w:hAnsi="仿宋" w:eastAsia="仿宋" w:cs="仿宋"/>
                <w:sz w:val="30"/>
                <w:szCs w:val="30"/>
              </w:rPr>
            </w:pPr>
            <w:r>
              <w:rPr>
                <w:rFonts w:hint="eastAsia" w:ascii="仿宋" w:hAnsi="仿宋" w:eastAsia="仿宋" w:cs="仿宋"/>
                <w:sz w:val="30"/>
                <w:szCs w:val="30"/>
              </w:rPr>
              <w:t>了解口腔龋病及牙周病的状况</w:t>
            </w:r>
          </w:p>
        </w:tc>
        <w:tc>
          <w:tcPr>
            <w:tcW w:w="1889" w:type="dxa"/>
            <w:vAlign w:val="center"/>
          </w:tcPr>
          <w:p>
            <w:pPr>
              <w:spacing w:after="0"/>
              <w:jc w:val="center"/>
              <w:rPr>
                <w:rFonts w:ascii="仿宋" w:hAnsi="仿宋" w:eastAsia="仿宋" w:cs="仿宋"/>
                <w:sz w:val="30"/>
                <w:szCs w:val="30"/>
              </w:rPr>
            </w:pPr>
            <w:r>
              <w:rPr>
                <w:rFonts w:hint="eastAsia" w:ascii="仿宋" w:hAnsi="仿宋" w:eastAsia="仿宋" w:cs="仿宋"/>
                <w:sz w:val="30"/>
                <w:szCs w:val="3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ascii="仿宋" w:hAnsi="仿宋" w:eastAsia="仿宋" w:cs="仿宋"/>
                <w:sz w:val="30"/>
                <w:szCs w:val="30"/>
              </w:rPr>
            </w:pPr>
            <w:r>
              <w:rPr>
                <w:rFonts w:hint="eastAsia" w:ascii="仿宋" w:hAnsi="仿宋" w:eastAsia="仿宋" w:cs="仿宋"/>
                <w:sz w:val="30"/>
                <w:szCs w:val="30"/>
              </w:rPr>
              <w:t>咬颌检查</w:t>
            </w:r>
          </w:p>
        </w:tc>
        <w:tc>
          <w:tcPr>
            <w:tcW w:w="3615" w:type="dxa"/>
            <w:vAlign w:val="center"/>
          </w:tcPr>
          <w:p>
            <w:pPr>
              <w:spacing w:after="0"/>
              <w:jc w:val="both"/>
              <w:rPr>
                <w:rFonts w:ascii="仿宋" w:hAnsi="仿宋" w:eastAsia="仿宋" w:cs="仿宋"/>
                <w:sz w:val="30"/>
                <w:szCs w:val="30"/>
              </w:rPr>
            </w:pPr>
            <w:r>
              <w:rPr>
                <w:rFonts w:hint="eastAsia" w:ascii="仿宋" w:hAnsi="仿宋" w:eastAsia="仿宋" w:cs="仿宋"/>
                <w:sz w:val="30"/>
                <w:szCs w:val="30"/>
              </w:rPr>
              <w:t>了解可能存在的咬合干扰</w:t>
            </w:r>
          </w:p>
        </w:tc>
        <w:tc>
          <w:tcPr>
            <w:tcW w:w="1889" w:type="dxa"/>
            <w:vAlign w:val="center"/>
          </w:tcPr>
          <w:p>
            <w:pPr>
              <w:spacing w:after="0"/>
              <w:jc w:val="center"/>
              <w:rPr>
                <w:rFonts w:ascii="仿宋" w:hAnsi="仿宋" w:eastAsia="仿宋" w:cs="仿宋"/>
                <w:sz w:val="30"/>
                <w:szCs w:val="30"/>
              </w:rPr>
            </w:pPr>
            <w:r>
              <w:rPr>
                <w:rFonts w:hint="eastAsia" w:ascii="仿宋" w:hAnsi="仿宋" w:eastAsia="仿宋" w:cs="仿宋"/>
                <w:sz w:val="30"/>
                <w:szCs w:val="3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ascii="仿宋" w:hAnsi="仿宋" w:eastAsia="仿宋" w:cs="仿宋"/>
                <w:sz w:val="30"/>
                <w:szCs w:val="30"/>
              </w:rPr>
            </w:pPr>
            <w:r>
              <w:rPr>
                <w:rFonts w:hint="eastAsia" w:ascii="仿宋" w:hAnsi="仿宋" w:eastAsia="仿宋" w:cs="仿宋"/>
                <w:sz w:val="30"/>
                <w:szCs w:val="30"/>
              </w:rPr>
              <w:t>龈上菌斑检查</w:t>
            </w:r>
          </w:p>
        </w:tc>
        <w:tc>
          <w:tcPr>
            <w:tcW w:w="3615" w:type="dxa"/>
            <w:vAlign w:val="center"/>
          </w:tcPr>
          <w:p>
            <w:pPr>
              <w:spacing w:after="0"/>
              <w:jc w:val="both"/>
              <w:rPr>
                <w:rFonts w:ascii="仿宋" w:hAnsi="仿宋" w:eastAsia="仿宋" w:cs="仿宋"/>
                <w:sz w:val="30"/>
                <w:szCs w:val="30"/>
              </w:rPr>
            </w:pPr>
            <w:r>
              <w:rPr>
                <w:rFonts w:hint="eastAsia" w:ascii="仿宋" w:hAnsi="仿宋" w:eastAsia="仿宋" w:cs="仿宋"/>
                <w:sz w:val="30"/>
                <w:szCs w:val="30"/>
              </w:rPr>
              <w:t>了解菌斑和软垢的附着程度，为有效刷牙提供指导。</w:t>
            </w:r>
          </w:p>
        </w:tc>
        <w:tc>
          <w:tcPr>
            <w:tcW w:w="1889" w:type="dxa"/>
            <w:vAlign w:val="center"/>
          </w:tcPr>
          <w:p>
            <w:pPr>
              <w:spacing w:after="0"/>
              <w:ind w:firstLine="600" w:firstLineChars="200"/>
              <w:rPr>
                <w:rFonts w:ascii="仿宋" w:hAnsi="仿宋" w:eastAsia="仿宋" w:cs="仿宋"/>
                <w:sz w:val="30"/>
                <w:szCs w:val="30"/>
              </w:rPr>
            </w:pPr>
            <w:r>
              <w:rPr>
                <w:rFonts w:hint="eastAsia" w:ascii="仿宋" w:hAnsi="仿宋" w:eastAsia="仿宋" w:cs="仿宋"/>
                <w:sz w:val="30"/>
                <w:szCs w:val="3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ascii="仿宋" w:hAnsi="仿宋" w:eastAsia="仿宋" w:cs="仿宋"/>
                <w:sz w:val="30"/>
                <w:szCs w:val="30"/>
              </w:rPr>
            </w:pPr>
            <w:r>
              <w:rPr>
                <w:rFonts w:hint="eastAsia" w:ascii="仿宋" w:hAnsi="仿宋" w:eastAsia="仿宋" w:cs="仿宋"/>
                <w:sz w:val="30"/>
                <w:szCs w:val="30"/>
              </w:rPr>
              <w:t>咀嚼功能检查</w:t>
            </w:r>
          </w:p>
        </w:tc>
        <w:tc>
          <w:tcPr>
            <w:tcW w:w="3615" w:type="dxa"/>
            <w:vAlign w:val="center"/>
          </w:tcPr>
          <w:p>
            <w:pPr>
              <w:spacing w:after="0"/>
              <w:jc w:val="both"/>
              <w:rPr>
                <w:rFonts w:ascii="仿宋" w:hAnsi="仿宋" w:eastAsia="仿宋" w:cs="仿宋"/>
                <w:sz w:val="30"/>
                <w:szCs w:val="30"/>
              </w:rPr>
            </w:pPr>
            <w:r>
              <w:rPr>
                <w:rFonts w:hint="eastAsia" w:ascii="仿宋" w:hAnsi="仿宋" w:eastAsia="仿宋" w:cs="仿宋"/>
                <w:sz w:val="30"/>
                <w:szCs w:val="30"/>
              </w:rPr>
              <w:t>了解咀嚼的效率</w:t>
            </w:r>
          </w:p>
        </w:tc>
        <w:tc>
          <w:tcPr>
            <w:tcW w:w="1889" w:type="dxa"/>
            <w:vAlign w:val="center"/>
          </w:tcPr>
          <w:p>
            <w:pPr>
              <w:spacing w:after="0"/>
              <w:jc w:val="center"/>
              <w:rPr>
                <w:rFonts w:ascii="仿宋" w:hAnsi="仿宋" w:eastAsia="仿宋" w:cs="仿宋"/>
                <w:sz w:val="30"/>
                <w:szCs w:val="30"/>
              </w:rPr>
            </w:pPr>
            <w:r>
              <w:rPr>
                <w:rFonts w:hint="eastAsia" w:ascii="仿宋" w:hAnsi="仿宋" w:eastAsia="仿宋" w:cs="仿宋"/>
                <w:sz w:val="30"/>
                <w:szCs w:val="3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ascii="仿宋" w:hAnsi="仿宋" w:eastAsia="仿宋" w:cs="仿宋"/>
                <w:sz w:val="30"/>
                <w:szCs w:val="30"/>
              </w:rPr>
            </w:pPr>
            <w:r>
              <w:rPr>
                <w:rFonts w:hint="eastAsia" w:ascii="仿宋" w:hAnsi="仿宋" w:eastAsia="仿宋" w:cs="仿宋"/>
                <w:sz w:val="30"/>
                <w:szCs w:val="30"/>
              </w:rPr>
              <w:t>下颌运动检查</w:t>
            </w:r>
          </w:p>
        </w:tc>
        <w:tc>
          <w:tcPr>
            <w:tcW w:w="3615" w:type="dxa"/>
            <w:vAlign w:val="center"/>
          </w:tcPr>
          <w:p>
            <w:pPr>
              <w:spacing w:after="0"/>
              <w:jc w:val="both"/>
              <w:rPr>
                <w:rFonts w:ascii="仿宋" w:hAnsi="仿宋" w:eastAsia="仿宋" w:cs="仿宋"/>
                <w:sz w:val="30"/>
                <w:szCs w:val="30"/>
              </w:rPr>
            </w:pPr>
            <w:r>
              <w:rPr>
                <w:rFonts w:hint="eastAsia" w:ascii="仿宋" w:hAnsi="仿宋" w:eastAsia="仿宋" w:cs="仿宋"/>
                <w:sz w:val="30"/>
                <w:szCs w:val="30"/>
              </w:rPr>
              <w:t>了解下颌功能有无障碍，提示颞下颌关节的病变。</w:t>
            </w:r>
          </w:p>
        </w:tc>
        <w:tc>
          <w:tcPr>
            <w:tcW w:w="1889" w:type="dxa"/>
            <w:vAlign w:val="center"/>
          </w:tcPr>
          <w:p>
            <w:pPr>
              <w:spacing w:after="0"/>
              <w:jc w:val="center"/>
              <w:rPr>
                <w:rFonts w:ascii="仿宋" w:hAnsi="仿宋" w:eastAsia="仿宋" w:cs="仿宋"/>
                <w:sz w:val="30"/>
                <w:szCs w:val="30"/>
              </w:rPr>
            </w:pPr>
            <w:r>
              <w:rPr>
                <w:rFonts w:hint="eastAsia" w:ascii="仿宋" w:hAnsi="仿宋" w:eastAsia="仿宋" w:cs="仿宋"/>
                <w:sz w:val="30"/>
                <w:szCs w:val="3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1"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ascii="仿宋" w:hAnsi="仿宋" w:eastAsia="仿宋" w:cs="仿宋"/>
                <w:sz w:val="30"/>
                <w:szCs w:val="30"/>
              </w:rPr>
            </w:pPr>
            <w:r>
              <w:rPr>
                <w:rFonts w:hint="eastAsia" w:ascii="仿宋" w:hAnsi="仿宋" w:eastAsia="仿宋" w:cs="仿宋"/>
                <w:sz w:val="30"/>
                <w:szCs w:val="30"/>
              </w:rPr>
              <w:t>颞颌关节系统检查</w:t>
            </w:r>
          </w:p>
        </w:tc>
        <w:tc>
          <w:tcPr>
            <w:tcW w:w="3615" w:type="dxa"/>
            <w:vAlign w:val="center"/>
          </w:tcPr>
          <w:p>
            <w:pPr>
              <w:pStyle w:val="5"/>
              <w:widowControl/>
              <w:spacing w:beforeAutospacing="0" w:afterAutospacing="0"/>
              <w:jc w:val="both"/>
              <w:rPr>
                <w:rFonts w:ascii="仿宋" w:hAnsi="仿宋" w:eastAsia="仿宋" w:cs="仿宋"/>
                <w:sz w:val="30"/>
                <w:szCs w:val="30"/>
              </w:rPr>
            </w:pPr>
            <w:r>
              <w:rPr>
                <w:rFonts w:hint="eastAsia" w:ascii="仿宋" w:hAnsi="仿宋" w:eastAsia="仿宋" w:cs="仿宋"/>
                <w:sz w:val="30"/>
                <w:szCs w:val="30"/>
              </w:rPr>
              <w:t>用于颞下颌关节紊乱综合症的诊断，通过对面型，开口度和开口限，咀嚼肌的检查，判断其关节运动功能正常度，可以防患于未然，有利于及时采取积极措施进行治疗，防止病情加重。</w:t>
            </w:r>
          </w:p>
        </w:tc>
        <w:tc>
          <w:tcPr>
            <w:tcW w:w="1889" w:type="dxa"/>
            <w:vAlign w:val="center"/>
          </w:tcPr>
          <w:p>
            <w:pPr>
              <w:spacing w:after="0"/>
              <w:jc w:val="center"/>
              <w:rPr>
                <w:rFonts w:ascii="仿宋" w:hAnsi="仿宋" w:eastAsia="仿宋" w:cs="仿宋"/>
                <w:sz w:val="30"/>
                <w:szCs w:val="30"/>
              </w:rPr>
            </w:pPr>
            <w:r>
              <w:rPr>
                <w:rFonts w:hint="eastAsia" w:ascii="仿宋" w:hAnsi="仿宋" w:eastAsia="仿宋" w:cs="仿宋"/>
                <w:sz w:val="30"/>
                <w:szCs w:val="30"/>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7590" w:type="dxa"/>
            <w:gridSpan w:val="3"/>
            <w:vAlign w:val="center"/>
          </w:tcPr>
          <w:p>
            <w:pPr>
              <w:spacing w:after="0"/>
              <w:jc w:val="center"/>
              <w:rPr>
                <w:rFonts w:ascii="仿宋" w:hAnsi="仿宋" w:eastAsia="仿宋" w:cs="仿宋"/>
                <w:sz w:val="30"/>
                <w:szCs w:val="30"/>
              </w:rPr>
            </w:pPr>
            <w:r>
              <w:rPr>
                <w:rFonts w:hint="eastAsia" w:ascii="仿宋" w:hAnsi="仿宋" w:eastAsia="仿宋" w:cs="仿宋"/>
                <w:sz w:val="30"/>
                <w:szCs w:val="30"/>
              </w:rPr>
              <w:t>总费用合计</w:t>
            </w: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110</w:t>
            </w:r>
          </w:p>
        </w:tc>
      </w:tr>
    </w:tbl>
    <w:p>
      <w:pPr>
        <w:pStyle w:val="9"/>
        <w:spacing w:beforeLines="100" w:after="0" w:line="360" w:lineRule="auto"/>
        <w:ind w:left="0" w:leftChars="0" w:firstLine="0" w:firstLineChars="0"/>
        <w:rPr>
          <w:rFonts w:ascii="仿宋" w:hAnsi="仿宋" w:eastAsia="仿宋" w:cs="仿宋"/>
          <w:sz w:val="30"/>
          <w:szCs w:val="30"/>
        </w:rPr>
      </w:pPr>
      <w:r>
        <w:rPr>
          <w:rFonts w:hint="eastAsia" w:ascii="楷体" w:hAnsi="楷体" w:eastAsia="楷体" w:cs="楷体"/>
          <w:b/>
          <w:bCs/>
          <w:sz w:val="30"/>
          <w:szCs w:val="30"/>
        </w:rPr>
        <w:t>（</w:t>
      </w:r>
      <w:r>
        <w:rPr>
          <w:rFonts w:hint="eastAsia" w:ascii="楷体" w:hAnsi="楷体" w:eastAsia="楷体" w:cs="楷体"/>
          <w:b/>
          <w:bCs/>
          <w:sz w:val="30"/>
          <w:szCs w:val="30"/>
          <w:lang w:val="en-US" w:eastAsia="zh-CN"/>
        </w:rPr>
        <w:t>二</w:t>
      </w:r>
      <w:r>
        <w:rPr>
          <w:rFonts w:hint="eastAsia" w:ascii="楷体" w:hAnsi="楷体" w:eastAsia="楷体" w:cs="楷体"/>
          <w:b/>
          <w:bCs/>
          <w:sz w:val="30"/>
          <w:szCs w:val="30"/>
        </w:rPr>
        <w:t>）个性化选择推荐：</w:t>
      </w:r>
    </w:p>
    <w:p>
      <w:pPr>
        <w:spacing w:after="0" w:line="360" w:lineRule="auto"/>
        <w:rPr>
          <w:rFonts w:ascii="仿宋" w:hAnsi="仿宋" w:eastAsia="仿宋" w:cs="仿宋"/>
          <w:sz w:val="30"/>
          <w:szCs w:val="30"/>
        </w:rPr>
      </w:pPr>
      <w:r>
        <w:rPr>
          <w:rFonts w:hint="eastAsia" w:ascii="仿宋" w:hAnsi="仿宋" w:eastAsia="仿宋" w:cs="仿宋"/>
          <w:sz w:val="30"/>
          <w:szCs w:val="30"/>
          <w:lang w:val="en-US" w:eastAsia="zh-CN"/>
        </w:rPr>
        <w:t>除必选</w:t>
      </w:r>
      <w:r>
        <w:rPr>
          <w:rFonts w:hint="eastAsia" w:ascii="仿宋" w:hAnsi="仿宋" w:eastAsia="仿宋" w:cs="仿宋"/>
          <w:sz w:val="30"/>
          <w:szCs w:val="30"/>
        </w:rPr>
        <w:t>套餐项目</w:t>
      </w:r>
      <w:r>
        <w:rPr>
          <w:rFonts w:hint="eastAsia" w:ascii="仿宋" w:hAnsi="仿宋" w:eastAsia="仿宋" w:cs="仿宋"/>
          <w:sz w:val="30"/>
          <w:szCs w:val="30"/>
          <w:lang w:val="en-US" w:eastAsia="zh-CN"/>
        </w:rPr>
        <w:t>外，</w:t>
      </w:r>
      <w:r>
        <w:rPr>
          <w:rFonts w:hint="eastAsia" w:ascii="仿宋" w:hAnsi="仿宋" w:eastAsia="仿宋" w:cs="仿宋"/>
          <w:sz w:val="30"/>
          <w:szCs w:val="30"/>
        </w:rPr>
        <w:t>全部可自由替换以下项目，</w:t>
      </w:r>
      <w:r>
        <w:rPr>
          <w:rFonts w:hint="eastAsia" w:ascii="仿宋" w:hAnsi="仿宋" w:eastAsia="仿宋" w:cs="仿宋"/>
          <w:sz w:val="30"/>
          <w:szCs w:val="30"/>
          <w:lang w:val="en-US" w:eastAsia="zh-CN"/>
        </w:rPr>
        <w:t>由</w:t>
      </w:r>
      <w:r>
        <w:rPr>
          <w:rFonts w:hint="eastAsia" w:ascii="仿宋" w:hAnsi="仿宋" w:eastAsia="仿宋" w:cs="仿宋"/>
          <w:sz w:val="30"/>
          <w:szCs w:val="30"/>
        </w:rPr>
        <w:t>专家提供专业建议。</w:t>
      </w:r>
    </w:p>
    <w:tbl>
      <w:tblPr>
        <w:tblStyle w:val="7"/>
        <w:tblW w:w="9479" w:type="dxa"/>
        <w:tblInd w:w="-4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987"/>
        <w:gridCol w:w="3615"/>
        <w:gridCol w:w="1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3975" w:type="dxa"/>
            <w:gridSpan w:val="2"/>
            <w:vAlign w:val="center"/>
          </w:tcPr>
          <w:p>
            <w:pPr>
              <w:spacing w:after="0"/>
              <w:jc w:val="center"/>
              <w:rPr>
                <w:rFonts w:ascii="仿宋" w:hAnsi="仿宋" w:eastAsia="仿宋" w:cs="仿宋"/>
                <w:b/>
                <w:bCs/>
                <w:sz w:val="32"/>
                <w:szCs w:val="32"/>
              </w:rPr>
            </w:pPr>
            <w:r>
              <w:rPr>
                <w:rFonts w:hint="eastAsia" w:ascii="仿宋" w:hAnsi="仿宋" w:eastAsia="仿宋" w:cs="仿宋"/>
                <w:b/>
                <w:bCs/>
                <w:sz w:val="32"/>
                <w:szCs w:val="32"/>
              </w:rPr>
              <w:t>项目名称</w:t>
            </w:r>
          </w:p>
        </w:tc>
        <w:tc>
          <w:tcPr>
            <w:tcW w:w="3615" w:type="dxa"/>
            <w:vAlign w:val="center"/>
          </w:tcPr>
          <w:p>
            <w:pPr>
              <w:spacing w:after="0"/>
              <w:jc w:val="center"/>
              <w:rPr>
                <w:rFonts w:ascii="仿宋" w:hAnsi="仿宋" w:eastAsia="仿宋" w:cs="仿宋"/>
                <w:b/>
                <w:bCs/>
                <w:sz w:val="32"/>
                <w:szCs w:val="32"/>
              </w:rPr>
            </w:pPr>
            <w:r>
              <w:rPr>
                <w:rFonts w:hint="eastAsia" w:ascii="仿宋" w:hAnsi="仿宋" w:eastAsia="仿宋" w:cs="仿宋"/>
                <w:b/>
                <w:bCs/>
                <w:sz w:val="32"/>
                <w:szCs w:val="32"/>
              </w:rPr>
              <w:t>临床意义</w:t>
            </w:r>
          </w:p>
        </w:tc>
        <w:tc>
          <w:tcPr>
            <w:tcW w:w="1889" w:type="dxa"/>
            <w:vAlign w:val="center"/>
          </w:tcPr>
          <w:p>
            <w:pPr>
              <w:spacing w:after="0"/>
              <w:jc w:val="center"/>
              <w:rPr>
                <w:rFonts w:ascii="仿宋" w:hAnsi="仿宋" w:eastAsia="仿宋" w:cs="仿宋"/>
                <w:b/>
                <w:bCs/>
                <w:sz w:val="32"/>
                <w:szCs w:val="32"/>
              </w:rPr>
            </w:pPr>
            <w:r>
              <w:rPr>
                <w:rFonts w:hint="eastAsia" w:ascii="仿宋" w:hAnsi="仿宋" w:eastAsia="仿宋" w:cs="仿宋"/>
                <w:b/>
                <w:bCs/>
                <w:sz w:val="32"/>
                <w:szCs w:val="32"/>
              </w:rPr>
              <w:t>价格（元）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X线计算机体层（CT）平扫</w:t>
            </w:r>
          </w:p>
        </w:tc>
        <w:tc>
          <w:tcPr>
            <w:tcW w:w="3615" w:type="dxa"/>
            <w:vAlign w:val="center"/>
          </w:tcPr>
          <w:p>
            <w:pPr>
              <w:spacing w:after="0"/>
              <w:jc w:val="both"/>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了解口腔颌面部硬组织及软组织的状况</w:t>
            </w: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曲面体层摄影（颌骨全景摄影）</w:t>
            </w:r>
          </w:p>
        </w:tc>
        <w:tc>
          <w:tcPr>
            <w:tcW w:w="3615" w:type="dxa"/>
            <w:vAlign w:val="center"/>
          </w:tcPr>
          <w:p>
            <w:pPr>
              <w:spacing w:after="0"/>
              <w:jc w:val="both"/>
              <w:rPr>
                <w:rFonts w:hint="eastAsia" w:ascii="仿宋" w:hAnsi="仿宋" w:eastAsia="仿宋" w:cs="仿宋"/>
                <w:sz w:val="30"/>
                <w:szCs w:val="30"/>
                <w:lang w:val="en-US" w:eastAsia="zh-CN"/>
              </w:rPr>
            </w:pP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数字化摄影（牙片）优惠价</w:t>
            </w:r>
          </w:p>
        </w:tc>
        <w:tc>
          <w:tcPr>
            <w:tcW w:w="3615" w:type="dxa"/>
            <w:vAlign w:val="center"/>
          </w:tcPr>
          <w:p>
            <w:pPr>
              <w:spacing w:after="0"/>
              <w:jc w:val="both"/>
              <w:rPr>
                <w:rFonts w:hint="eastAsia" w:ascii="仿宋" w:hAnsi="仿宋" w:eastAsia="仿宋" w:cs="仿宋"/>
                <w:sz w:val="30"/>
                <w:szCs w:val="30"/>
                <w:lang w:val="en-US" w:eastAsia="zh-CN"/>
              </w:rPr>
            </w:pP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全口龈上超声洁治</w:t>
            </w:r>
          </w:p>
        </w:tc>
        <w:tc>
          <w:tcPr>
            <w:tcW w:w="3615" w:type="dxa"/>
            <w:vAlign w:val="center"/>
          </w:tcPr>
          <w:p>
            <w:pPr>
              <w:spacing w:after="0"/>
              <w:jc w:val="both"/>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清洁牙齿、促进牙周健康</w:t>
            </w: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全口涂氟</w:t>
            </w:r>
          </w:p>
        </w:tc>
        <w:tc>
          <w:tcPr>
            <w:tcW w:w="3615" w:type="dxa"/>
            <w:vAlign w:val="center"/>
          </w:tcPr>
          <w:p>
            <w:pPr>
              <w:spacing w:after="0"/>
              <w:jc w:val="both"/>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预防龋齿、坚固牙齿</w:t>
            </w:r>
          </w:p>
        </w:tc>
        <w:tc>
          <w:tcPr>
            <w:tcW w:w="1889" w:type="dxa"/>
            <w:vAlign w:val="center"/>
          </w:tcPr>
          <w:p>
            <w:pPr>
              <w:spacing w:after="0"/>
              <w:ind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树脂充填（I类洞）</w:t>
            </w:r>
          </w:p>
        </w:tc>
        <w:tc>
          <w:tcPr>
            <w:tcW w:w="3615" w:type="dxa"/>
            <w:vAlign w:val="center"/>
          </w:tcPr>
          <w:p>
            <w:pPr>
              <w:spacing w:after="0"/>
              <w:jc w:val="both"/>
              <w:rPr>
                <w:rFonts w:ascii="仿宋" w:hAnsi="仿宋" w:eastAsia="仿宋" w:cs="仿宋"/>
                <w:sz w:val="30"/>
                <w:szCs w:val="30"/>
              </w:rPr>
            </w:pP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rPr>
              <w:t>树脂充填（Ⅱ类洞）</w:t>
            </w:r>
          </w:p>
        </w:tc>
        <w:tc>
          <w:tcPr>
            <w:tcW w:w="3615" w:type="dxa"/>
            <w:vAlign w:val="center"/>
          </w:tcPr>
          <w:p>
            <w:pPr>
              <w:spacing w:after="0"/>
              <w:jc w:val="both"/>
              <w:rPr>
                <w:rFonts w:ascii="仿宋" w:hAnsi="仿宋" w:eastAsia="仿宋" w:cs="仿宋"/>
                <w:sz w:val="30"/>
                <w:szCs w:val="30"/>
              </w:rPr>
            </w:pP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氢氧化钙盖髓</w:t>
            </w:r>
          </w:p>
        </w:tc>
        <w:tc>
          <w:tcPr>
            <w:tcW w:w="3615" w:type="dxa"/>
            <w:vAlign w:val="center"/>
          </w:tcPr>
          <w:p>
            <w:pPr>
              <w:spacing w:after="0"/>
              <w:jc w:val="both"/>
              <w:rPr>
                <w:rFonts w:ascii="仿宋" w:hAnsi="仿宋" w:eastAsia="仿宋" w:cs="仿宋"/>
                <w:sz w:val="30"/>
                <w:szCs w:val="30"/>
              </w:rPr>
            </w:pP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根管治疗（单根管）</w:t>
            </w:r>
          </w:p>
        </w:tc>
        <w:tc>
          <w:tcPr>
            <w:tcW w:w="3615" w:type="dxa"/>
            <w:vAlign w:val="center"/>
          </w:tcPr>
          <w:p>
            <w:pPr>
              <w:pStyle w:val="5"/>
              <w:widowControl/>
              <w:spacing w:beforeAutospacing="0" w:afterAutospacing="0"/>
              <w:jc w:val="both"/>
              <w:rPr>
                <w:rFonts w:ascii="仿宋" w:hAnsi="仿宋" w:eastAsia="仿宋" w:cs="仿宋"/>
                <w:sz w:val="30"/>
                <w:szCs w:val="30"/>
              </w:rPr>
            </w:pP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88" w:type="dxa"/>
            <w:vAlign w:val="center"/>
          </w:tcPr>
          <w:p>
            <w:pPr>
              <w:spacing w:after="0"/>
              <w:jc w:val="both"/>
              <w:rPr>
                <w:rFonts w:ascii="仿宋" w:hAnsi="仿宋" w:eastAsia="仿宋" w:cs="仿宋"/>
                <w:sz w:val="30"/>
                <w:szCs w:val="30"/>
              </w:rPr>
            </w:pPr>
          </w:p>
        </w:tc>
        <w:tc>
          <w:tcPr>
            <w:tcW w:w="2987" w:type="dxa"/>
            <w:vAlign w:val="center"/>
          </w:tcPr>
          <w:p>
            <w:pPr>
              <w:spacing w:after="0"/>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根管治疗（双根管）</w:t>
            </w:r>
          </w:p>
        </w:tc>
        <w:tc>
          <w:tcPr>
            <w:tcW w:w="3615" w:type="dxa"/>
            <w:vAlign w:val="center"/>
          </w:tcPr>
          <w:p>
            <w:pPr>
              <w:pStyle w:val="5"/>
              <w:widowControl/>
              <w:spacing w:beforeAutospacing="0" w:afterAutospacing="0"/>
              <w:jc w:val="both"/>
              <w:rPr>
                <w:rFonts w:ascii="仿宋" w:hAnsi="仿宋" w:eastAsia="仿宋" w:cs="仿宋"/>
                <w:sz w:val="30"/>
                <w:szCs w:val="30"/>
              </w:rPr>
            </w:pP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1640</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88" w:type="dxa"/>
            <w:vAlign w:val="center"/>
          </w:tcPr>
          <w:p>
            <w:pPr>
              <w:spacing w:after="0"/>
              <w:jc w:val="both"/>
              <w:rPr>
                <w:rFonts w:ascii="仿宋" w:hAnsi="仿宋" w:eastAsia="仿宋" w:cs="仿宋"/>
                <w:sz w:val="30"/>
                <w:szCs w:val="30"/>
              </w:rPr>
            </w:pPr>
          </w:p>
        </w:tc>
        <w:tc>
          <w:tcPr>
            <w:tcW w:w="2987" w:type="dxa"/>
            <w:vAlign w:val="center"/>
          </w:tcPr>
          <w:p>
            <w:pPr>
              <w:spacing w:after="0"/>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根管治疗（三根管）</w:t>
            </w:r>
          </w:p>
        </w:tc>
        <w:tc>
          <w:tcPr>
            <w:tcW w:w="3615" w:type="dxa"/>
            <w:vAlign w:val="center"/>
          </w:tcPr>
          <w:p>
            <w:pPr>
              <w:pStyle w:val="5"/>
              <w:widowControl/>
              <w:spacing w:beforeAutospacing="0" w:afterAutospacing="0"/>
              <w:jc w:val="both"/>
              <w:rPr>
                <w:rFonts w:ascii="仿宋" w:hAnsi="仿宋" w:eastAsia="仿宋" w:cs="仿宋"/>
                <w:sz w:val="30"/>
                <w:szCs w:val="30"/>
              </w:rPr>
            </w:pP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2133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88" w:type="dxa"/>
            <w:vAlign w:val="center"/>
          </w:tcPr>
          <w:p>
            <w:pPr>
              <w:spacing w:after="0"/>
              <w:jc w:val="both"/>
              <w:rPr>
                <w:rFonts w:ascii="仿宋" w:hAnsi="仿宋" w:eastAsia="仿宋" w:cs="仿宋"/>
                <w:sz w:val="30"/>
                <w:szCs w:val="30"/>
              </w:rPr>
            </w:pPr>
          </w:p>
        </w:tc>
        <w:tc>
          <w:tcPr>
            <w:tcW w:w="2987" w:type="dxa"/>
            <w:vAlign w:val="center"/>
          </w:tcPr>
          <w:p>
            <w:pPr>
              <w:spacing w:after="0"/>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根管治疗（四根管）</w:t>
            </w:r>
          </w:p>
        </w:tc>
        <w:tc>
          <w:tcPr>
            <w:tcW w:w="3615" w:type="dxa"/>
            <w:vAlign w:val="center"/>
          </w:tcPr>
          <w:p>
            <w:pPr>
              <w:pStyle w:val="5"/>
              <w:widowControl/>
              <w:spacing w:beforeAutospacing="0" w:afterAutospacing="0"/>
              <w:jc w:val="both"/>
              <w:rPr>
                <w:rFonts w:ascii="仿宋" w:hAnsi="仿宋" w:eastAsia="仿宋" w:cs="仿宋"/>
                <w:sz w:val="30"/>
                <w:szCs w:val="30"/>
              </w:rPr>
            </w:pP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2526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冷光美白</w:t>
            </w:r>
          </w:p>
        </w:tc>
        <w:tc>
          <w:tcPr>
            <w:tcW w:w="3615" w:type="dxa"/>
            <w:vAlign w:val="center"/>
          </w:tcPr>
          <w:p>
            <w:pPr>
              <w:pStyle w:val="5"/>
              <w:widowControl/>
              <w:spacing w:beforeAutospacing="0" w:afterAutospacing="0"/>
              <w:jc w:val="both"/>
              <w:rPr>
                <w:rFonts w:ascii="仿宋" w:hAnsi="仿宋" w:eastAsia="仿宋" w:cs="仿宋"/>
                <w:sz w:val="30"/>
                <w:szCs w:val="30"/>
              </w:rPr>
            </w:pP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局部浸润麻醉</w:t>
            </w:r>
          </w:p>
        </w:tc>
        <w:tc>
          <w:tcPr>
            <w:tcW w:w="3615" w:type="dxa"/>
            <w:vAlign w:val="center"/>
          </w:tcPr>
          <w:p>
            <w:pPr>
              <w:pStyle w:val="5"/>
              <w:widowControl/>
              <w:spacing w:beforeAutospacing="0" w:afterAutospacing="0"/>
              <w:jc w:val="both"/>
              <w:rPr>
                <w:rFonts w:ascii="仿宋" w:hAnsi="仿宋" w:eastAsia="仿宋" w:cs="仿宋"/>
                <w:sz w:val="30"/>
                <w:szCs w:val="30"/>
              </w:rPr>
            </w:pP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神经阻滞麻醉</w:t>
            </w:r>
          </w:p>
        </w:tc>
        <w:tc>
          <w:tcPr>
            <w:tcW w:w="3615" w:type="dxa"/>
            <w:vAlign w:val="center"/>
          </w:tcPr>
          <w:p>
            <w:pPr>
              <w:pStyle w:val="5"/>
              <w:widowControl/>
              <w:spacing w:beforeAutospacing="0" w:afterAutospacing="0"/>
              <w:jc w:val="both"/>
              <w:rPr>
                <w:rFonts w:ascii="仿宋" w:hAnsi="仿宋" w:eastAsia="仿宋" w:cs="仿宋"/>
                <w:sz w:val="30"/>
                <w:szCs w:val="30"/>
              </w:rPr>
            </w:pP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88" w:type="dxa"/>
            <w:vAlign w:val="center"/>
          </w:tcPr>
          <w:p>
            <w:pPr>
              <w:spacing w:after="0"/>
              <w:ind w:firstLine="600" w:firstLineChars="200"/>
              <w:jc w:val="center"/>
              <w:rPr>
                <w:rFonts w:ascii="仿宋" w:hAnsi="仿宋" w:eastAsia="仿宋" w:cs="仿宋"/>
                <w:sz w:val="30"/>
                <w:szCs w:val="30"/>
              </w:rPr>
            </w:pPr>
          </w:p>
        </w:tc>
        <w:tc>
          <w:tcPr>
            <w:tcW w:w="2987"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计算机控制局部麻醉（STA）</w:t>
            </w:r>
          </w:p>
        </w:tc>
        <w:tc>
          <w:tcPr>
            <w:tcW w:w="3615" w:type="dxa"/>
            <w:vAlign w:val="center"/>
          </w:tcPr>
          <w:p>
            <w:pPr>
              <w:pStyle w:val="5"/>
              <w:widowControl/>
              <w:spacing w:beforeAutospacing="0" w:afterAutospacing="0"/>
              <w:jc w:val="both"/>
              <w:rPr>
                <w:rFonts w:ascii="仿宋" w:hAnsi="仿宋" w:eastAsia="仿宋" w:cs="仿宋"/>
                <w:sz w:val="30"/>
                <w:szCs w:val="30"/>
              </w:rPr>
            </w:pPr>
          </w:p>
        </w:tc>
        <w:tc>
          <w:tcPr>
            <w:tcW w:w="1889" w:type="dxa"/>
            <w:vAlign w:val="center"/>
          </w:tcPr>
          <w:p>
            <w:pPr>
              <w:spacing w:after="0"/>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147</w:t>
            </w:r>
          </w:p>
        </w:tc>
      </w:tr>
    </w:tbl>
    <w:p>
      <w:pPr>
        <w:spacing w:beforeLines="100" w:after="0" w:line="360" w:lineRule="auto"/>
        <w:ind w:firstLine="300" w:firstLineChars="100"/>
        <w:rPr>
          <w:rFonts w:ascii="黑体" w:hAnsi="黑体" w:eastAsia="黑体" w:cs="黑体"/>
          <w:sz w:val="30"/>
          <w:szCs w:val="30"/>
        </w:rPr>
      </w:pPr>
      <w:r>
        <w:rPr>
          <w:rFonts w:hint="eastAsia" w:ascii="黑体" w:hAnsi="黑体" w:eastAsia="黑体" w:cs="黑体"/>
          <w:sz w:val="30"/>
          <w:szCs w:val="30"/>
        </w:rPr>
        <w:t>五、出行及体检流程指南</w:t>
      </w:r>
    </w:p>
    <w:p>
      <w:pPr>
        <w:shd w:val="clear" w:color="auto" w:fill="FFFFFF"/>
        <w:spacing w:after="0" w:line="360" w:lineRule="auto"/>
        <w:ind w:firstLine="626" w:firstLineChars="200"/>
        <w:rPr>
          <w:rFonts w:ascii="楷体" w:hAnsi="楷体" w:eastAsia="楷体" w:cs="楷体"/>
          <w:b/>
          <w:bCs/>
          <w:color w:val="333333"/>
          <w:spacing w:val="6"/>
          <w:sz w:val="30"/>
          <w:szCs w:val="30"/>
        </w:rPr>
      </w:pPr>
      <w:r>
        <w:rPr>
          <w:rFonts w:hint="eastAsia" w:ascii="楷体" w:hAnsi="楷体" w:eastAsia="楷体" w:cs="楷体"/>
          <w:b/>
          <w:bCs/>
          <w:color w:val="333333"/>
          <w:spacing w:val="6"/>
          <w:sz w:val="30"/>
          <w:szCs w:val="30"/>
        </w:rPr>
        <w:t>（一）医院地址：</w:t>
      </w:r>
    </w:p>
    <w:p>
      <w:pPr>
        <w:shd w:val="clear" w:color="auto" w:fill="FFFFFF"/>
        <w:spacing w:after="0" w:line="360" w:lineRule="auto"/>
        <w:ind w:firstLine="624" w:firstLineChars="200"/>
        <w:rPr>
          <w:rFonts w:ascii="仿宋" w:hAnsi="仿宋" w:eastAsia="仿宋" w:cs="仿宋"/>
          <w:color w:val="333333"/>
          <w:spacing w:val="6"/>
          <w:sz w:val="30"/>
          <w:szCs w:val="30"/>
        </w:rPr>
      </w:pPr>
      <w:r>
        <w:rPr>
          <w:rFonts w:hint="eastAsia" w:ascii="仿宋" w:hAnsi="仿宋" w:eastAsia="仿宋" w:cs="仿宋"/>
          <w:color w:val="333333"/>
          <w:spacing w:val="6"/>
          <w:sz w:val="30"/>
          <w:szCs w:val="30"/>
        </w:rPr>
        <w:t>江西省南昌市福州路49号（省体育馆旁）</w:t>
      </w:r>
    </w:p>
    <w:p>
      <w:pPr>
        <w:shd w:val="clear" w:color="auto" w:fill="FFFFFF"/>
        <w:spacing w:after="0" w:line="360" w:lineRule="auto"/>
        <w:ind w:firstLine="626" w:firstLineChars="200"/>
        <w:rPr>
          <w:rFonts w:ascii="楷体" w:hAnsi="楷体" w:eastAsia="楷体" w:cs="楷体"/>
          <w:b/>
          <w:bCs/>
          <w:color w:val="333333"/>
          <w:spacing w:val="6"/>
          <w:sz w:val="30"/>
          <w:szCs w:val="30"/>
        </w:rPr>
      </w:pPr>
      <w:r>
        <w:rPr>
          <w:rFonts w:hint="eastAsia" w:ascii="楷体" w:hAnsi="楷体" w:eastAsia="楷体" w:cs="楷体"/>
          <w:b/>
          <w:bCs/>
          <w:color w:val="333333"/>
          <w:spacing w:val="6"/>
          <w:sz w:val="30"/>
          <w:szCs w:val="30"/>
        </w:rPr>
        <w:t>（二）乘车线路：</w:t>
      </w:r>
    </w:p>
    <w:p>
      <w:pPr>
        <w:shd w:val="clear" w:color="auto" w:fill="FFFFFF"/>
        <w:spacing w:after="0" w:line="360" w:lineRule="auto"/>
        <w:ind w:firstLine="626" w:firstLineChars="200"/>
        <w:jc w:val="both"/>
        <w:rPr>
          <w:rFonts w:ascii="仿宋" w:hAnsi="仿宋" w:eastAsia="仿宋" w:cs="仿宋"/>
          <w:color w:val="333333"/>
          <w:spacing w:val="6"/>
          <w:sz w:val="30"/>
          <w:szCs w:val="30"/>
        </w:rPr>
      </w:pPr>
      <w:r>
        <w:rPr>
          <w:rFonts w:hint="eastAsia" w:ascii="仿宋" w:hAnsi="仿宋" w:eastAsia="仿宋" w:cs="仿宋"/>
          <w:b/>
          <w:bCs/>
          <w:color w:val="333333"/>
          <w:spacing w:val="6"/>
          <w:sz w:val="30"/>
          <w:szCs w:val="30"/>
        </w:rPr>
        <w:t>1.直达医院门口公交路线：</w:t>
      </w:r>
      <w:r>
        <w:rPr>
          <w:rFonts w:hint="eastAsia" w:ascii="仿宋" w:hAnsi="仿宋" w:eastAsia="仿宋" w:cs="仿宋"/>
          <w:color w:val="333333"/>
          <w:spacing w:val="6"/>
          <w:sz w:val="30"/>
          <w:szCs w:val="30"/>
        </w:rPr>
        <w:t>27路,227路长班,224路,317路到口腔医院下。</w:t>
      </w:r>
    </w:p>
    <w:p>
      <w:pPr>
        <w:shd w:val="clear" w:color="auto" w:fill="FFFFFF"/>
        <w:spacing w:after="0" w:line="360" w:lineRule="auto"/>
        <w:ind w:firstLine="626" w:firstLineChars="200"/>
        <w:jc w:val="both"/>
        <w:rPr>
          <w:rFonts w:ascii="仿宋" w:hAnsi="仿宋" w:eastAsia="仿宋" w:cs="仿宋"/>
          <w:color w:val="333333"/>
          <w:spacing w:val="6"/>
          <w:sz w:val="30"/>
          <w:szCs w:val="30"/>
        </w:rPr>
      </w:pPr>
      <w:r>
        <w:rPr>
          <w:rFonts w:hint="eastAsia" w:ascii="仿宋" w:hAnsi="仿宋" w:eastAsia="仿宋" w:cs="仿宋"/>
          <w:b/>
          <w:bCs/>
          <w:color w:val="333333"/>
          <w:spacing w:val="6"/>
          <w:sz w:val="30"/>
          <w:szCs w:val="30"/>
        </w:rPr>
        <w:t>2.非直达医院门口公交路线：</w:t>
      </w:r>
      <w:r>
        <w:rPr>
          <w:rFonts w:hint="eastAsia" w:ascii="仿宋" w:hAnsi="仿宋" w:eastAsia="仿宋" w:cs="仿宋"/>
          <w:color w:val="333333"/>
          <w:spacing w:val="6"/>
          <w:sz w:val="30"/>
          <w:szCs w:val="30"/>
        </w:rPr>
        <w:t>2路、22路、26路、88路、202路、208路、7路、10路、11路、602路、230路、302路、303路、205路、306路到二附院下，往福州路步行约200米即到。</w:t>
      </w:r>
    </w:p>
    <w:p>
      <w:pPr>
        <w:shd w:val="clear" w:color="auto" w:fill="FFFFFF"/>
        <w:spacing w:after="0" w:line="360" w:lineRule="auto"/>
        <w:ind w:firstLine="626" w:firstLineChars="200"/>
        <w:jc w:val="both"/>
        <w:rPr>
          <w:rFonts w:ascii="仿宋" w:hAnsi="仿宋" w:eastAsia="仿宋" w:cs="仿宋"/>
          <w:color w:val="333333"/>
          <w:spacing w:val="6"/>
          <w:sz w:val="30"/>
          <w:szCs w:val="30"/>
        </w:rPr>
      </w:pPr>
      <w:r>
        <w:rPr>
          <w:rFonts w:hint="eastAsia" w:ascii="仿宋" w:hAnsi="仿宋" w:eastAsia="仿宋" w:cs="仿宋"/>
          <w:b/>
          <w:bCs/>
          <w:color w:val="333333"/>
          <w:spacing w:val="6"/>
          <w:sz w:val="30"/>
          <w:szCs w:val="30"/>
        </w:rPr>
        <w:t>3.从南昌西客站乘车线路：</w:t>
      </w:r>
      <w:r>
        <w:rPr>
          <w:rFonts w:hint="eastAsia" w:ascii="仿宋" w:hAnsi="仿宋" w:eastAsia="仿宋" w:cs="仿宋"/>
          <w:color w:val="333333"/>
          <w:spacing w:val="6"/>
          <w:sz w:val="30"/>
          <w:szCs w:val="30"/>
        </w:rPr>
        <w:t>高铁巴士2号线到二附院下，往福州路步行约200米即到。</w:t>
      </w:r>
    </w:p>
    <w:p>
      <w:pPr>
        <w:shd w:val="clear" w:color="auto" w:fill="FFFFFF"/>
        <w:spacing w:after="0" w:line="360" w:lineRule="auto"/>
        <w:ind w:firstLine="626" w:firstLineChars="200"/>
        <w:jc w:val="both"/>
        <w:rPr>
          <w:rFonts w:ascii="仿宋" w:hAnsi="仿宋" w:eastAsia="仿宋" w:cs="仿宋"/>
          <w:color w:val="333333"/>
          <w:spacing w:val="6"/>
          <w:sz w:val="30"/>
          <w:szCs w:val="30"/>
        </w:rPr>
      </w:pPr>
      <w:r>
        <w:rPr>
          <w:rFonts w:hint="eastAsia" w:ascii="仿宋" w:hAnsi="仿宋" w:eastAsia="仿宋" w:cs="仿宋"/>
          <w:b/>
          <w:bCs/>
          <w:color w:val="333333"/>
          <w:spacing w:val="6"/>
          <w:sz w:val="30"/>
          <w:szCs w:val="30"/>
        </w:rPr>
        <w:t>4.从机场到医院：</w:t>
      </w:r>
      <w:r>
        <w:rPr>
          <w:rFonts w:hint="eastAsia" w:ascii="仿宋" w:hAnsi="仿宋" w:eastAsia="仿宋" w:cs="仿宋"/>
          <w:color w:val="333333"/>
          <w:spacing w:val="6"/>
          <w:sz w:val="30"/>
          <w:szCs w:val="30"/>
        </w:rPr>
        <w:t>机场大巴1线（608）到江西饭店站下，往福州路步行约300米即到。</w:t>
      </w:r>
    </w:p>
    <w:p>
      <w:pPr>
        <w:shd w:val="clear" w:color="auto" w:fill="FFFFFF"/>
        <w:spacing w:after="0" w:line="360" w:lineRule="auto"/>
        <w:ind w:firstLine="602" w:firstLineChars="200"/>
        <w:jc w:val="both"/>
        <w:rPr>
          <w:rFonts w:ascii="仿宋" w:hAnsi="仿宋" w:eastAsia="仿宋" w:cs="仿宋"/>
          <w:color w:val="333333"/>
          <w:spacing w:val="6"/>
          <w:sz w:val="30"/>
          <w:szCs w:val="30"/>
        </w:rPr>
      </w:pPr>
      <w:r>
        <w:rPr>
          <w:rFonts w:hint="eastAsia" w:ascii="仿宋" w:hAnsi="仿宋" w:eastAsia="仿宋" w:cs="仿宋"/>
          <w:b/>
          <w:bCs/>
          <w:sz w:val="30"/>
          <w:szCs w:val="30"/>
        </w:rPr>
        <w:t>5.地铁线路：</w:t>
      </w:r>
      <w:r>
        <w:rPr>
          <w:rFonts w:hint="eastAsia" w:ascii="仿宋" w:hAnsi="仿宋" w:eastAsia="仿宋" w:cs="仿宋"/>
          <w:sz w:val="30"/>
          <w:szCs w:val="30"/>
        </w:rPr>
        <w:t>乘坐地铁2号线至福州路口站下，</w:t>
      </w:r>
      <w:r>
        <w:rPr>
          <w:rFonts w:hint="eastAsia" w:ascii="仿宋" w:hAnsi="仿宋" w:eastAsia="仿宋" w:cs="仿宋"/>
          <w:color w:val="333333"/>
          <w:spacing w:val="6"/>
          <w:sz w:val="30"/>
          <w:szCs w:val="30"/>
        </w:rPr>
        <w:t>往福州路步行约300米即到。</w:t>
      </w:r>
    </w:p>
    <w:p>
      <w:pPr>
        <w:pStyle w:val="9"/>
        <w:spacing w:after="0" w:line="360" w:lineRule="auto"/>
        <w:ind w:firstLine="600"/>
        <w:rPr>
          <w:rFonts w:ascii="黑体" w:hAnsi="黑体" w:eastAsia="黑体" w:cs="黑体"/>
          <w:sz w:val="30"/>
          <w:szCs w:val="30"/>
        </w:rPr>
      </w:pPr>
      <w:r>
        <w:rPr>
          <w:rFonts w:hint="eastAsia" w:ascii="黑体" w:hAnsi="黑体" w:eastAsia="黑体" w:cs="黑体"/>
          <w:sz w:val="30"/>
          <w:szCs w:val="30"/>
        </w:rPr>
        <w:t>六、注意事项</w:t>
      </w:r>
    </w:p>
    <w:p>
      <w:pPr>
        <w:pStyle w:val="9"/>
        <w:spacing w:after="0" w:line="360" w:lineRule="auto"/>
        <w:ind w:firstLine="600"/>
        <w:rPr>
          <w:rFonts w:ascii="仿宋" w:hAnsi="仿宋" w:eastAsia="仿宋" w:cs="仿宋"/>
          <w:sz w:val="30"/>
          <w:szCs w:val="30"/>
        </w:rPr>
      </w:pPr>
      <w:r>
        <w:rPr>
          <w:rFonts w:hint="eastAsia" w:ascii="仿宋" w:hAnsi="仿宋" w:eastAsia="仿宋" w:cs="仿宋"/>
          <w:sz w:val="30"/>
          <w:szCs w:val="30"/>
        </w:rPr>
        <w:t>教职工可根据个人实际情况，调整套餐内体检项目（具体项目与我院确认预约），超出费用由本人自行承担。</w:t>
      </w:r>
    </w:p>
    <w:p>
      <w:pPr>
        <w:spacing w:beforeLines="100" w:after="0" w:line="360" w:lineRule="auto"/>
        <w:ind w:firstLine="600" w:firstLineChars="200"/>
        <w:jc w:val="right"/>
        <w:rPr>
          <w:rFonts w:ascii="仿宋" w:hAnsi="仿宋" w:eastAsia="仿宋" w:cs="仿宋"/>
          <w:sz w:val="30"/>
          <w:szCs w:val="30"/>
        </w:rPr>
      </w:pPr>
      <w:r>
        <w:rPr>
          <w:rFonts w:hint="eastAsia" w:ascii="仿宋" w:hAnsi="仿宋" w:eastAsia="仿宋" w:cs="仿宋"/>
          <w:sz w:val="30"/>
          <w:szCs w:val="30"/>
        </w:rPr>
        <w:t>南昌大学附属口腔医院</w:t>
      </w:r>
    </w:p>
    <w:p>
      <w:pPr>
        <w:spacing w:after="0" w:line="360" w:lineRule="auto"/>
        <w:ind w:firstLine="600" w:firstLineChars="200"/>
        <w:jc w:val="right"/>
        <w:rPr>
          <w:rFonts w:ascii="仿宋" w:hAnsi="仿宋" w:eastAsia="仿宋" w:cs="仿宋"/>
          <w:sz w:val="30"/>
          <w:szCs w:val="30"/>
        </w:rPr>
      </w:pPr>
      <w:r>
        <w:rPr>
          <w:rFonts w:hint="eastAsia" w:ascii="仿宋" w:hAnsi="仿宋" w:eastAsia="仿宋" w:cs="仿宋"/>
          <w:sz w:val="30"/>
          <w:szCs w:val="30"/>
        </w:rPr>
        <w:t>2022年8月6日</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FB3EC3"/>
    <w:multiLevelType w:val="singleLevel"/>
    <w:tmpl w:val="F9FB3EC3"/>
    <w:lvl w:ilvl="0" w:tentative="0">
      <w:start w:val="1"/>
      <w:numFmt w:val="chineseCounting"/>
      <w:suff w:val="nothing"/>
      <w:lvlText w:val="%1、"/>
      <w:lvlJc w:val="left"/>
      <w:rPr>
        <w:rFonts w:hint="eastAsia"/>
      </w:rPr>
    </w:lvl>
  </w:abstractNum>
  <w:abstractNum w:abstractNumId="1">
    <w:nsid w:val="01C2C642"/>
    <w:multiLevelType w:val="singleLevel"/>
    <w:tmpl w:val="01C2C642"/>
    <w:lvl w:ilvl="0" w:tentative="0">
      <w:start w:val="1"/>
      <w:numFmt w:val="chineseCounting"/>
      <w:suff w:val="nothing"/>
      <w:lvlText w:val="（%1）"/>
      <w:lvlJc w:val="left"/>
      <w:rPr>
        <w:rFonts w:hint="eastAsia"/>
      </w:rPr>
    </w:lvl>
  </w:abstractNum>
  <w:abstractNum w:abstractNumId="2">
    <w:nsid w:val="70926A41"/>
    <w:multiLevelType w:val="multilevel"/>
    <w:tmpl w:val="70926A41"/>
    <w:lvl w:ilvl="0" w:tentative="0">
      <w:start w:val="1"/>
      <w:numFmt w:val="decimalEnclosedCircle"/>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3">
    <w:nsid w:val="76783474"/>
    <w:multiLevelType w:val="multilevel"/>
    <w:tmpl w:val="76783474"/>
    <w:lvl w:ilvl="0" w:tentative="0">
      <w:start w:val="1"/>
      <w:numFmt w:val="decimalEnclosedCircle"/>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zNWQxZGUzYWNlZmJjYTM1ODE5M2VlNTJkNzgyY2QifQ=="/>
  </w:docVars>
  <w:rsids>
    <w:rsidRoot w:val="00D31D50"/>
    <w:rsid w:val="000C1714"/>
    <w:rsid w:val="00165C41"/>
    <w:rsid w:val="001C71B2"/>
    <w:rsid w:val="00211011"/>
    <w:rsid w:val="00323B43"/>
    <w:rsid w:val="00340A81"/>
    <w:rsid w:val="003921FB"/>
    <w:rsid w:val="003D37D8"/>
    <w:rsid w:val="00426133"/>
    <w:rsid w:val="00434C8D"/>
    <w:rsid w:val="004358AB"/>
    <w:rsid w:val="004E72BC"/>
    <w:rsid w:val="005A4B49"/>
    <w:rsid w:val="006B6059"/>
    <w:rsid w:val="007B65E6"/>
    <w:rsid w:val="008441A5"/>
    <w:rsid w:val="008B7726"/>
    <w:rsid w:val="008D5E9F"/>
    <w:rsid w:val="00A332FE"/>
    <w:rsid w:val="00A533ED"/>
    <w:rsid w:val="00A84D09"/>
    <w:rsid w:val="00B52332"/>
    <w:rsid w:val="00CF2072"/>
    <w:rsid w:val="00D01258"/>
    <w:rsid w:val="00D31D50"/>
    <w:rsid w:val="00D51F17"/>
    <w:rsid w:val="00DE2B36"/>
    <w:rsid w:val="00E128D4"/>
    <w:rsid w:val="00E26BCF"/>
    <w:rsid w:val="00E33787"/>
    <w:rsid w:val="00F3002A"/>
    <w:rsid w:val="00FF5832"/>
    <w:rsid w:val="033C4284"/>
    <w:rsid w:val="04AC06D3"/>
    <w:rsid w:val="0EC16D7D"/>
    <w:rsid w:val="1D512E1B"/>
    <w:rsid w:val="1F0B2D04"/>
    <w:rsid w:val="241063EE"/>
    <w:rsid w:val="24A46899"/>
    <w:rsid w:val="2CB55A97"/>
    <w:rsid w:val="2EB968C2"/>
    <w:rsid w:val="30B479C4"/>
    <w:rsid w:val="31F2117A"/>
    <w:rsid w:val="36504072"/>
    <w:rsid w:val="381C3E40"/>
    <w:rsid w:val="3A56551F"/>
    <w:rsid w:val="3F544474"/>
    <w:rsid w:val="4184330B"/>
    <w:rsid w:val="44254B09"/>
    <w:rsid w:val="48CB348A"/>
    <w:rsid w:val="4FB77E4A"/>
    <w:rsid w:val="543A7CB7"/>
    <w:rsid w:val="5ABA550C"/>
    <w:rsid w:val="5D6F7FAF"/>
    <w:rsid w:val="5DCA79A4"/>
    <w:rsid w:val="670D2F92"/>
    <w:rsid w:val="79940BA0"/>
    <w:rsid w:val="7A197DF5"/>
    <w:rsid w:val="7FBB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uiPriority w:val="99"/>
    <w:pPr>
      <w:spacing w:after="0"/>
    </w:pPr>
    <w:rPr>
      <w:sz w:val="18"/>
      <w:szCs w:val="18"/>
    </w:rPr>
  </w:style>
  <w:style w:type="paragraph" w:styleId="3">
    <w:name w:val="footer"/>
    <w:basedOn w:val="1"/>
    <w:link w:val="11"/>
    <w:semiHidden/>
    <w:unhideWhenUsed/>
    <w:uiPriority w:val="99"/>
    <w:pPr>
      <w:tabs>
        <w:tab w:val="center" w:pos="4153"/>
        <w:tab w:val="right" w:pos="8306"/>
      </w:tabs>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jc w:val="center"/>
    </w:pPr>
    <w:rPr>
      <w:sz w:val="18"/>
      <w:szCs w:val="18"/>
    </w:rPr>
  </w:style>
  <w:style w:type="paragraph" w:styleId="5">
    <w:name w:val="Normal (Web)"/>
    <w:qFormat/>
    <w:uiPriority w:val="99"/>
    <w:pPr>
      <w:widowControl w:val="0"/>
      <w:spacing w:beforeAutospacing="1" w:afterAutospacing="1"/>
    </w:pPr>
    <w:rPr>
      <w:rFonts w:cs="Times New Roman" w:asciiTheme="minorHAnsi" w:hAnsiTheme="minorHAnsi" w:eastAsiaTheme="minorEastAsia"/>
      <w:sz w:val="24"/>
      <w:szCs w:val="24"/>
      <w:lang w:val="en-US" w:eastAsia="zh-CN" w:bidi="ar-SA"/>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uiPriority w:val="99"/>
    <w:pPr>
      <w:ind w:firstLine="420" w:firstLineChars="200"/>
    </w:pPr>
  </w:style>
  <w:style w:type="character" w:customStyle="1" w:styleId="10">
    <w:name w:val="页眉 Char"/>
    <w:basedOn w:val="8"/>
    <w:link w:val="4"/>
    <w:semiHidden/>
    <w:uiPriority w:val="99"/>
    <w:rPr>
      <w:rFonts w:ascii="Tahoma" w:hAnsi="Tahoma" w:eastAsia="微软雅黑"/>
      <w:sz w:val="18"/>
      <w:szCs w:val="18"/>
    </w:rPr>
  </w:style>
  <w:style w:type="character" w:customStyle="1" w:styleId="11">
    <w:name w:val="页脚 Char"/>
    <w:basedOn w:val="8"/>
    <w:link w:val="3"/>
    <w:semiHidden/>
    <w:uiPriority w:val="99"/>
    <w:rPr>
      <w:rFonts w:ascii="Tahoma" w:hAnsi="Tahoma" w:eastAsia="微软雅黑"/>
      <w:sz w:val="18"/>
      <w:szCs w:val="18"/>
    </w:rPr>
  </w:style>
  <w:style w:type="character" w:customStyle="1" w:styleId="12">
    <w:name w:val="批注框文本 Char"/>
    <w:basedOn w:val="8"/>
    <w:link w:val="2"/>
    <w:semiHidden/>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437</Words>
  <Characters>2492</Characters>
  <Lines>20</Lines>
  <Paragraphs>5</Paragraphs>
  <TotalTime>37</TotalTime>
  <ScaleCrop>false</ScaleCrop>
  <LinksUpToDate>false</LinksUpToDate>
  <CharactersWithSpaces>2924</CharactersWithSpaces>
  <Application>WPS Office_11.1.0.11035_F1E327BC-269C-435d-A152-05C5408002CA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2022-08-09T11:35:00Z</dcterms:created>
  <dc:creator>20190226-1</dc:creator>
  <cp:lastModifiedBy>HUAWEI</cp:lastModifiedBy>
  <dcterms:modified xsi:type="dcterms:W3CDTF">2022-08-10T03:49:29Z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2052-11.1.0.11035</vt:lpwstr>
  </property>
  <property fmtid="{D5CDD505-2E9C-101B-9397-08002B2CF9AE}" pid="3" name="ICV">
    <vt:lpwstr>7E9A24F7804E4D599F686F5E8F58651D</vt:lpwstr>
  </property>
</Properties>
</file>